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011D8" w14:textId="6104B63B" w:rsidR="00B20935" w:rsidRPr="00645968" w:rsidRDefault="00374F51" w:rsidP="00645968">
      <w:pPr>
        <w:jc w:val="center"/>
        <w:rPr>
          <w:rFonts w:ascii="Arial" w:hAnsi="Arial" w:cs="Arial"/>
          <w:b/>
          <w:bCs/>
          <w:sz w:val="22"/>
          <w:szCs w:val="22"/>
          <w:u w:val="single"/>
        </w:rPr>
      </w:pPr>
      <w:r w:rsidRPr="00645968">
        <w:rPr>
          <w:rFonts w:ascii="Arial" w:hAnsi="Arial" w:cs="Arial"/>
          <w:b/>
          <w:bCs/>
          <w:noProof/>
          <w:sz w:val="22"/>
          <w:szCs w:val="22"/>
          <w:u w:val="single"/>
          <w:lang w:val="en-US"/>
        </w:rPr>
        <w:drawing>
          <wp:inline distT="0" distB="0" distL="0" distR="0" wp14:anchorId="24BD11A7" wp14:editId="2FCFED10">
            <wp:extent cx="1501140" cy="990097"/>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5394" cy="1006094"/>
                    </a:xfrm>
                    <a:prstGeom prst="rect">
                      <a:avLst/>
                    </a:prstGeom>
                    <a:noFill/>
                  </pic:spPr>
                </pic:pic>
              </a:graphicData>
            </a:graphic>
          </wp:inline>
        </w:drawing>
      </w:r>
      <w:r w:rsidR="00B20935" w:rsidRPr="00645968">
        <w:rPr>
          <w:rFonts w:ascii="Arial" w:hAnsi="Arial" w:cs="Arial"/>
          <w:b/>
          <w:bCs/>
          <w:noProof/>
          <w:sz w:val="22"/>
          <w:szCs w:val="22"/>
          <w:u w:val="single"/>
          <w:lang w:val="en-US"/>
        </w:rPr>
        <w:drawing>
          <wp:inline distT="0" distB="0" distL="0" distR="0" wp14:anchorId="2A1A5556" wp14:editId="0A746EEB">
            <wp:extent cx="2021604" cy="1219200"/>
            <wp:effectExtent l="0" t="0" r="0" b="0"/>
            <wp:docPr id="20163373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792" t="8835" r="2416" b="10324"/>
                    <a:stretch/>
                  </pic:blipFill>
                  <pic:spPr bwMode="auto">
                    <a:xfrm>
                      <a:off x="0" y="0"/>
                      <a:ext cx="2074846" cy="1251309"/>
                    </a:xfrm>
                    <a:prstGeom prst="rect">
                      <a:avLst/>
                    </a:prstGeom>
                    <a:noFill/>
                    <a:ln>
                      <a:noFill/>
                    </a:ln>
                    <a:extLst>
                      <a:ext uri="{53640926-AAD7-44D8-BBD7-CCE9431645EC}">
                        <a14:shadowObscured xmlns:a14="http://schemas.microsoft.com/office/drawing/2010/main"/>
                      </a:ext>
                    </a:extLst>
                  </pic:spPr>
                </pic:pic>
              </a:graphicData>
            </a:graphic>
          </wp:inline>
        </w:drawing>
      </w:r>
    </w:p>
    <w:p w14:paraId="2042A24F" w14:textId="04D5A163" w:rsidR="00430997" w:rsidRPr="00645968" w:rsidRDefault="00430997" w:rsidP="00645968">
      <w:pPr>
        <w:jc w:val="both"/>
        <w:rPr>
          <w:rFonts w:ascii="Arial" w:hAnsi="Arial" w:cs="Arial"/>
          <w:b/>
          <w:bCs/>
          <w:sz w:val="22"/>
          <w:szCs w:val="22"/>
          <w:u w:val="single"/>
        </w:rPr>
      </w:pPr>
      <w:r w:rsidRPr="00645968">
        <w:rPr>
          <w:rFonts w:ascii="Arial" w:hAnsi="Arial" w:cs="Arial"/>
          <w:b/>
          <w:bCs/>
          <w:sz w:val="22"/>
          <w:szCs w:val="22"/>
          <w:u w:val="single"/>
        </w:rPr>
        <w:t xml:space="preserve">Papua New Guinea’s </w:t>
      </w:r>
      <w:r w:rsidR="00374F51" w:rsidRPr="00645968">
        <w:rPr>
          <w:rFonts w:ascii="Arial" w:hAnsi="Arial" w:cs="Arial"/>
          <w:b/>
          <w:bCs/>
          <w:sz w:val="22"/>
          <w:szCs w:val="22"/>
          <w:u w:val="single"/>
        </w:rPr>
        <w:t xml:space="preserve">Sustainable Development Goals (SDGs) </w:t>
      </w:r>
      <w:r w:rsidRPr="00645968">
        <w:rPr>
          <w:rFonts w:ascii="Arial" w:hAnsi="Arial" w:cs="Arial"/>
          <w:b/>
          <w:bCs/>
          <w:sz w:val="22"/>
          <w:szCs w:val="22"/>
          <w:u w:val="single"/>
        </w:rPr>
        <w:t>Voluntary National Review</w:t>
      </w:r>
      <w:r w:rsidR="00374F51" w:rsidRPr="00645968">
        <w:rPr>
          <w:rFonts w:ascii="Arial" w:hAnsi="Arial" w:cs="Arial"/>
          <w:b/>
          <w:bCs/>
          <w:sz w:val="22"/>
          <w:szCs w:val="22"/>
          <w:u w:val="single"/>
        </w:rPr>
        <w:t xml:space="preserve"> (VNR) First and Se</w:t>
      </w:r>
      <w:r w:rsidR="00F54C33" w:rsidRPr="00645968">
        <w:rPr>
          <w:rFonts w:ascii="Arial" w:hAnsi="Arial" w:cs="Arial"/>
          <w:b/>
          <w:bCs/>
          <w:sz w:val="22"/>
          <w:szCs w:val="22"/>
          <w:u w:val="single"/>
        </w:rPr>
        <w:t>cond Report (</w:t>
      </w:r>
      <w:r w:rsidRPr="00645968">
        <w:rPr>
          <w:rFonts w:ascii="Arial" w:hAnsi="Arial" w:cs="Arial"/>
          <w:b/>
          <w:bCs/>
          <w:sz w:val="22"/>
          <w:szCs w:val="22"/>
          <w:u w:val="single"/>
        </w:rPr>
        <w:t>2020 &amp; 2025</w:t>
      </w:r>
      <w:r w:rsidR="00F54C33" w:rsidRPr="00645968">
        <w:rPr>
          <w:rFonts w:ascii="Arial" w:hAnsi="Arial" w:cs="Arial"/>
          <w:b/>
          <w:bCs/>
          <w:sz w:val="22"/>
          <w:szCs w:val="22"/>
          <w:u w:val="single"/>
        </w:rPr>
        <w:t>)</w:t>
      </w:r>
    </w:p>
    <w:p w14:paraId="7B4DE50D" w14:textId="16AD5552" w:rsidR="00430997" w:rsidRPr="00645968" w:rsidRDefault="00430997" w:rsidP="00645968">
      <w:pPr>
        <w:jc w:val="both"/>
        <w:rPr>
          <w:rFonts w:ascii="Arial" w:hAnsi="Arial" w:cs="Arial"/>
          <w:sz w:val="22"/>
          <w:szCs w:val="22"/>
        </w:rPr>
      </w:pPr>
      <w:r w:rsidRPr="00645968">
        <w:rPr>
          <w:rFonts w:ascii="Arial" w:hAnsi="Arial" w:cs="Arial"/>
          <w:sz w:val="22"/>
          <w:szCs w:val="22"/>
        </w:rPr>
        <w:t xml:space="preserve">Papua New Guinea (PNG) is committed to the global 2030 Agenda for Sustainable Development </w:t>
      </w:r>
      <w:r w:rsidR="00AF60DC" w:rsidRPr="00645968">
        <w:rPr>
          <w:rFonts w:ascii="Arial" w:hAnsi="Arial" w:cs="Arial"/>
          <w:sz w:val="22"/>
          <w:szCs w:val="22"/>
        </w:rPr>
        <w:t xml:space="preserve">and the Sustainable Development Goals (SDGs). This includes </w:t>
      </w:r>
      <w:r w:rsidRPr="00645968">
        <w:rPr>
          <w:rFonts w:ascii="Arial" w:hAnsi="Arial" w:cs="Arial"/>
          <w:sz w:val="22"/>
          <w:szCs w:val="22"/>
        </w:rPr>
        <w:t xml:space="preserve">the Small Island Developing States </w:t>
      </w:r>
      <w:r w:rsidR="00AF60DC" w:rsidRPr="00645968">
        <w:rPr>
          <w:rFonts w:ascii="Arial" w:hAnsi="Arial" w:cs="Arial"/>
          <w:sz w:val="22"/>
          <w:szCs w:val="22"/>
        </w:rPr>
        <w:t xml:space="preserve">(SIDS) </w:t>
      </w:r>
      <w:r w:rsidRPr="00645968">
        <w:rPr>
          <w:rFonts w:ascii="Arial" w:hAnsi="Arial" w:cs="Arial"/>
          <w:sz w:val="22"/>
          <w:szCs w:val="22"/>
        </w:rPr>
        <w:t>Accelerated Modalities of Action (SAMOA Pathway)</w:t>
      </w:r>
      <w:r w:rsidR="00AF60DC" w:rsidRPr="00645968">
        <w:rPr>
          <w:rFonts w:ascii="Arial" w:hAnsi="Arial" w:cs="Arial"/>
          <w:sz w:val="22"/>
          <w:szCs w:val="22"/>
        </w:rPr>
        <w:t xml:space="preserve"> and the </w:t>
      </w:r>
      <w:r w:rsidR="00812C70" w:rsidRPr="00645968">
        <w:rPr>
          <w:rFonts w:ascii="Arial" w:hAnsi="Arial" w:cs="Arial"/>
          <w:sz w:val="22"/>
          <w:szCs w:val="22"/>
        </w:rPr>
        <w:t>current</w:t>
      </w:r>
      <w:r w:rsidR="00AF60DC" w:rsidRPr="00645968">
        <w:rPr>
          <w:rFonts w:ascii="Arial" w:hAnsi="Arial" w:cs="Arial"/>
          <w:sz w:val="22"/>
          <w:szCs w:val="22"/>
        </w:rPr>
        <w:t xml:space="preserve"> “Antigua and Barbuda Agenda for SIDS (ABAS) – a Renewed Declaration for Resilient Prosperity” to</w:t>
      </w:r>
      <w:r w:rsidRPr="00645968">
        <w:rPr>
          <w:rFonts w:ascii="Arial" w:hAnsi="Arial" w:cs="Arial"/>
          <w:sz w:val="22"/>
          <w:szCs w:val="22"/>
        </w:rPr>
        <w:t xml:space="preserve"> achieve the country’s long-term vision as outlined in Vision 2050. The Sustainable Development Goals (SDGs) have been fully integrated into PNG’s national planning framework, particularly in the Medium-Term Development Plan </w:t>
      </w:r>
      <w:r w:rsidR="00812C70" w:rsidRPr="00645968">
        <w:rPr>
          <w:rFonts w:ascii="Arial" w:hAnsi="Arial" w:cs="Arial"/>
          <w:sz w:val="22"/>
          <w:szCs w:val="22"/>
        </w:rPr>
        <w:t xml:space="preserve">III (2018 – 2022) and </w:t>
      </w:r>
      <w:r w:rsidRPr="00645968">
        <w:rPr>
          <w:rFonts w:ascii="Arial" w:hAnsi="Arial" w:cs="Arial"/>
          <w:sz w:val="22"/>
          <w:szCs w:val="22"/>
        </w:rPr>
        <w:t>IV (20</w:t>
      </w:r>
      <w:r w:rsidR="00812C70" w:rsidRPr="00645968">
        <w:rPr>
          <w:rFonts w:ascii="Arial" w:hAnsi="Arial" w:cs="Arial"/>
          <w:sz w:val="22"/>
          <w:szCs w:val="22"/>
        </w:rPr>
        <w:t>23 - 2027</w:t>
      </w:r>
      <w:r w:rsidRPr="00645968">
        <w:rPr>
          <w:rFonts w:ascii="Arial" w:hAnsi="Arial" w:cs="Arial"/>
          <w:sz w:val="22"/>
          <w:szCs w:val="22"/>
        </w:rPr>
        <w:t>), along with other national policies, legislation, and budgetary allocations.</w:t>
      </w:r>
    </w:p>
    <w:p w14:paraId="76591E14" w14:textId="77777777" w:rsidR="00430997" w:rsidRPr="00645968" w:rsidRDefault="00430997" w:rsidP="00645968">
      <w:pPr>
        <w:jc w:val="both"/>
        <w:rPr>
          <w:rFonts w:ascii="Arial" w:hAnsi="Arial" w:cs="Arial"/>
          <w:sz w:val="22"/>
          <w:szCs w:val="22"/>
        </w:rPr>
      </w:pPr>
      <w:r w:rsidRPr="00645968">
        <w:rPr>
          <w:rFonts w:ascii="Arial" w:hAnsi="Arial" w:cs="Arial"/>
          <w:sz w:val="22"/>
          <w:szCs w:val="22"/>
        </w:rPr>
        <w:t>Despite progress, the country faces mixed results in key thematic areas due to internal and external challenges. PNG’s Voluntary National Review (VNR) process provides an opportunity to assess implementation progress, highlight challenges, and renew the nation’s commitment to the SDGs.</w:t>
      </w:r>
    </w:p>
    <w:p w14:paraId="6F5BF12C" w14:textId="129CFD14" w:rsidR="00430997" w:rsidRPr="00645968" w:rsidRDefault="00430997" w:rsidP="00645968">
      <w:pPr>
        <w:jc w:val="both"/>
        <w:rPr>
          <w:rFonts w:ascii="Arial" w:hAnsi="Arial" w:cs="Arial"/>
          <w:sz w:val="22"/>
          <w:szCs w:val="22"/>
        </w:rPr>
      </w:pPr>
      <w:r w:rsidRPr="00645968">
        <w:rPr>
          <w:rFonts w:ascii="Arial" w:hAnsi="Arial" w:cs="Arial"/>
          <w:sz w:val="22"/>
          <w:szCs w:val="22"/>
        </w:rPr>
        <w:t>PNG presented its first Voluntary National Review (VNR) in 2020 at the United Nations High-Level Political Forum (HLPF)</w:t>
      </w:r>
      <w:r w:rsidR="008B799F" w:rsidRPr="00645968">
        <w:rPr>
          <w:rFonts w:ascii="Arial" w:hAnsi="Arial" w:cs="Arial"/>
          <w:sz w:val="22"/>
          <w:szCs w:val="22"/>
        </w:rPr>
        <w:t xml:space="preserve"> in July, in New York</w:t>
      </w:r>
      <w:r w:rsidRPr="00645968">
        <w:rPr>
          <w:rFonts w:ascii="Arial" w:hAnsi="Arial" w:cs="Arial"/>
          <w:sz w:val="22"/>
          <w:szCs w:val="22"/>
        </w:rPr>
        <w:t>, marking a significant milestone in tracking SDG implementation</w:t>
      </w:r>
      <w:r w:rsidR="008B799F" w:rsidRPr="00645968">
        <w:rPr>
          <w:rFonts w:ascii="Arial" w:hAnsi="Arial" w:cs="Arial"/>
          <w:sz w:val="22"/>
          <w:szCs w:val="22"/>
        </w:rPr>
        <w:t>s</w:t>
      </w:r>
      <w:r w:rsidRPr="00645968">
        <w:rPr>
          <w:rFonts w:ascii="Arial" w:hAnsi="Arial" w:cs="Arial"/>
          <w:sz w:val="22"/>
          <w:szCs w:val="22"/>
        </w:rPr>
        <w:t>. The report highlighted progress in various sectors, particularly in Health (SDG 3), Education (SDG 4), Climate Action (SDG 13), Partnerships for the Goals (SDG 17)</w:t>
      </w:r>
      <w:r w:rsidR="00832C80" w:rsidRPr="00645968">
        <w:rPr>
          <w:rFonts w:ascii="Arial" w:hAnsi="Arial" w:cs="Arial"/>
          <w:sz w:val="22"/>
          <w:szCs w:val="22"/>
        </w:rPr>
        <w:t xml:space="preserve"> and all the 17 SDGs</w:t>
      </w:r>
      <w:r w:rsidRPr="00645968">
        <w:rPr>
          <w:rFonts w:ascii="Arial" w:hAnsi="Arial" w:cs="Arial"/>
          <w:sz w:val="22"/>
          <w:szCs w:val="22"/>
        </w:rPr>
        <w:t>.</w:t>
      </w:r>
    </w:p>
    <w:p w14:paraId="35401980" w14:textId="77777777" w:rsidR="00430997" w:rsidRPr="00645968" w:rsidRDefault="00430997" w:rsidP="00645968">
      <w:pPr>
        <w:jc w:val="both"/>
        <w:rPr>
          <w:rFonts w:ascii="Arial" w:hAnsi="Arial" w:cs="Arial"/>
          <w:sz w:val="22"/>
          <w:szCs w:val="22"/>
        </w:rPr>
      </w:pPr>
      <w:r w:rsidRPr="00645968">
        <w:rPr>
          <w:rFonts w:ascii="Arial" w:hAnsi="Arial" w:cs="Arial"/>
          <w:sz w:val="22"/>
          <w:szCs w:val="22"/>
        </w:rPr>
        <w:t>Key Achievements Since 2000:</w:t>
      </w:r>
    </w:p>
    <w:p w14:paraId="771F085B" w14:textId="77777777" w:rsidR="00430997" w:rsidRPr="00645968" w:rsidRDefault="00430997" w:rsidP="00645968">
      <w:pPr>
        <w:numPr>
          <w:ilvl w:val="0"/>
          <w:numId w:val="2"/>
        </w:numPr>
        <w:jc w:val="both"/>
        <w:rPr>
          <w:rFonts w:ascii="Arial" w:hAnsi="Arial" w:cs="Arial"/>
          <w:sz w:val="22"/>
          <w:szCs w:val="22"/>
        </w:rPr>
      </w:pPr>
      <w:r w:rsidRPr="00645968">
        <w:rPr>
          <w:rFonts w:ascii="Arial" w:hAnsi="Arial" w:cs="Arial"/>
          <w:b/>
          <w:bCs/>
          <w:sz w:val="22"/>
          <w:szCs w:val="22"/>
        </w:rPr>
        <w:t>Maternal mortality rate</w:t>
      </w:r>
      <w:r w:rsidRPr="00645968">
        <w:rPr>
          <w:rFonts w:ascii="Arial" w:hAnsi="Arial" w:cs="Arial"/>
          <w:sz w:val="22"/>
          <w:szCs w:val="22"/>
        </w:rPr>
        <w:t xml:space="preserve"> decreased from </w:t>
      </w:r>
      <w:r w:rsidRPr="00645968">
        <w:rPr>
          <w:rFonts w:ascii="Arial" w:hAnsi="Arial" w:cs="Arial"/>
          <w:b/>
          <w:bCs/>
          <w:sz w:val="22"/>
          <w:szCs w:val="22"/>
        </w:rPr>
        <w:t>220 (2015) to 145 (2017) per 100,000 live births</w:t>
      </w:r>
      <w:r w:rsidRPr="00645968">
        <w:rPr>
          <w:rFonts w:ascii="Arial" w:hAnsi="Arial" w:cs="Arial"/>
          <w:sz w:val="22"/>
          <w:szCs w:val="22"/>
        </w:rPr>
        <w:t>.</w:t>
      </w:r>
    </w:p>
    <w:p w14:paraId="7C90887C" w14:textId="77777777" w:rsidR="00430997" w:rsidRPr="00645968" w:rsidRDefault="00430997" w:rsidP="00645968">
      <w:pPr>
        <w:numPr>
          <w:ilvl w:val="0"/>
          <w:numId w:val="2"/>
        </w:numPr>
        <w:jc w:val="both"/>
        <w:rPr>
          <w:rFonts w:ascii="Arial" w:hAnsi="Arial" w:cs="Arial"/>
          <w:sz w:val="22"/>
          <w:szCs w:val="22"/>
        </w:rPr>
      </w:pPr>
      <w:r w:rsidRPr="00645968">
        <w:rPr>
          <w:rFonts w:ascii="Arial" w:hAnsi="Arial" w:cs="Arial"/>
          <w:b/>
          <w:bCs/>
          <w:sz w:val="22"/>
          <w:szCs w:val="22"/>
        </w:rPr>
        <w:t>Immunization coverage</w:t>
      </w:r>
      <w:r w:rsidRPr="00645968">
        <w:rPr>
          <w:rFonts w:ascii="Arial" w:hAnsi="Arial" w:cs="Arial"/>
          <w:sz w:val="22"/>
          <w:szCs w:val="22"/>
        </w:rPr>
        <w:t xml:space="preserve"> improved from </w:t>
      </w:r>
      <w:r w:rsidRPr="00645968">
        <w:rPr>
          <w:rFonts w:ascii="Arial" w:hAnsi="Arial" w:cs="Arial"/>
          <w:b/>
          <w:bCs/>
          <w:sz w:val="22"/>
          <w:szCs w:val="22"/>
        </w:rPr>
        <w:t>60% (2016) to 80% (2019)</w:t>
      </w:r>
      <w:r w:rsidRPr="00645968">
        <w:rPr>
          <w:rFonts w:ascii="Arial" w:hAnsi="Arial" w:cs="Arial"/>
          <w:sz w:val="22"/>
          <w:szCs w:val="22"/>
        </w:rPr>
        <w:t>.</w:t>
      </w:r>
    </w:p>
    <w:p w14:paraId="4FD0FFF2" w14:textId="77777777" w:rsidR="00430997" w:rsidRPr="00645968" w:rsidRDefault="00430997" w:rsidP="00645968">
      <w:pPr>
        <w:numPr>
          <w:ilvl w:val="0"/>
          <w:numId w:val="2"/>
        </w:numPr>
        <w:jc w:val="both"/>
        <w:rPr>
          <w:rFonts w:ascii="Arial" w:hAnsi="Arial" w:cs="Arial"/>
          <w:sz w:val="22"/>
          <w:szCs w:val="22"/>
        </w:rPr>
      </w:pPr>
      <w:r w:rsidRPr="00645968">
        <w:rPr>
          <w:rFonts w:ascii="Arial" w:hAnsi="Arial" w:cs="Arial"/>
          <w:b/>
          <w:bCs/>
          <w:sz w:val="22"/>
          <w:szCs w:val="22"/>
        </w:rPr>
        <w:t>Net enrollment ratio in primary education</w:t>
      </w:r>
      <w:r w:rsidRPr="00645968">
        <w:rPr>
          <w:rFonts w:ascii="Arial" w:hAnsi="Arial" w:cs="Arial"/>
          <w:sz w:val="22"/>
          <w:szCs w:val="22"/>
        </w:rPr>
        <w:t xml:space="preserve"> increased from </w:t>
      </w:r>
      <w:r w:rsidRPr="00645968">
        <w:rPr>
          <w:rFonts w:ascii="Arial" w:hAnsi="Arial" w:cs="Arial"/>
          <w:b/>
          <w:bCs/>
          <w:sz w:val="22"/>
          <w:szCs w:val="22"/>
        </w:rPr>
        <w:t>68% (2014) to 87.7% (2017)</w:t>
      </w:r>
      <w:r w:rsidRPr="00645968">
        <w:rPr>
          <w:rFonts w:ascii="Arial" w:hAnsi="Arial" w:cs="Arial"/>
          <w:sz w:val="22"/>
          <w:szCs w:val="22"/>
        </w:rPr>
        <w:t>.</w:t>
      </w:r>
    </w:p>
    <w:p w14:paraId="1FF7CD58" w14:textId="77777777" w:rsidR="00430997" w:rsidRPr="00645968" w:rsidRDefault="00430997" w:rsidP="00645968">
      <w:pPr>
        <w:jc w:val="both"/>
        <w:rPr>
          <w:rFonts w:ascii="Arial" w:hAnsi="Arial" w:cs="Arial"/>
          <w:sz w:val="22"/>
          <w:szCs w:val="22"/>
        </w:rPr>
      </w:pPr>
      <w:r w:rsidRPr="00645968">
        <w:rPr>
          <w:rFonts w:ascii="Arial" w:hAnsi="Arial" w:cs="Arial"/>
          <w:sz w:val="22"/>
          <w:szCs w:val="22"/>
        </w:rPr>
        <w:t>Positive trends were also identified in Affordable and Clean Energy (SDG 7), Zero Hunger (SDG 2), Sustainable Cities and Communities (SDG 11), Clean Water and Sanitation (SDG 6), and Gender Equality (SDG 5) due to policy reforms, innovative financing, and strategic partnerships.</w:t>
      </w:r>
    </w:p>
    <w:p w14:paraId="008D6810" w14:textId="0BCD5444" w:rsidR="00430997" w:rsidRPr="00645968" w:rsidRDefault="00430997" w:rsidP="00645968">
      <w:pPr>
        <w:jc w:val="both"/>
        <w:rPr>
          <w:rFonts w:ascii="Arial" w:hAnsi="Arial" w:cs="Arial"/>
          <w:sz w:val="22"/>
          <w:szCs w:val="22"/>
        </w:rPr>
      </w:pPr>
      <w:r w:rsidRPr="00645968">
        <w:rPr>
          <w:rFonts w:ascii="Arial" w:hAnsi="Arial" w:cs="Arial"/>
          <w:sz w:val="22"/>
          <w:szCs w:val="22"/>
        </w:rPr>
        <w:t xml:space="preserve">However, challenges persist in areas such as Decent Work and Economic Growth (SDG 8), Responsible Consumption and Production (SDG 12), Peace, Justice, and Strong Institutions (SDG 16), and Life Below Water (SDG 14). These challenges stem from governance issues, limited financial and technical capacities, </w:t>
      </w:r>
      <w:r w:rsidR="00CC42DA" w:rsidRPr="00645968">
        <w:rPr>
          <w:rFonts w:ascii="Arial" w:hAnsi="Arial" w:cs="Arial"/>
          <w:sz w:val="22"/>
          <w:szCs w:val="22"/>
        </w:rPr>
        <w:t xml:space="preserve">political ownership of the SDGs, and lack of effective </w:t>
      </w:r>
      <w:r w:rsidRPr="00645968">
        <w:rPr>
          <w:rFonts w:ascii="Arial" w:hAnsi="Arial" w:cs="Arial"/>
          <w:sz w:val="22"/>
          <w:szCs w:val="22"/>
        </w:rPr>
        <w:t xml:space="preserve">coordination across </w:t>
      </w:r>
      <w:r w:rsidR="00CC42DA" w:rsidRPr="00645968">
        <w:rPr>
          <w:rFonts w:ascii="Arial" w:hAnsi="Arial" w:cs="Arial"/>
          <w:sz w:val="22"/>
          <w:szCs w:val="22"/>
        </w:rPr>
        <w:t xml:space="preserve">all </w:t>
      </w:r>
      <w:r w:rsidRPr="00645968">
        <w:rPr>
          <w:rFonts w:ascii="Arial" w:hAnsi="Arial" w:cs="Arial"/>
          <w:sz w:val="22"/>
          <w:szCs w:val="22"/>
        </w:rPr>
        <w:t>sectors.</w:t>
      </w:r>
    </w:p>
    <w:p w14:paraId="4BDDDF0A" w14:textId="77777777" w:rsidR="00430997" w:rsidRPr="00645968" w:rsidRDefault="00430997" w:rsidP="00645968">
      <w:pPr>
        <w:jc w:val="both"/>
        <w:rPr>
          <w:rFonts w:ascii="Arial" w:hAnsi="Arial" w:cs="Arial"/>
          <w:b/>
          <w:bCs/>
          <w:sz w:val="22"/>
          <w:szCs w:val="22"/>
        </w:rPr>
      </w:pPr>
      <w:r w:rsidRPr="00645968">
        <w:rPr>
          <w:rFonts w:ascii="Arial" w:hAnsi="Arial" w:cs="Arial"/>
          <w:b/>
          <w:bCs/>
          <w:sz w:val="22"/>
          <w:szCs w:val="22"/>
        </w:rPr>
        <w:lastRenderedPageBreak/>
        <w:t>Key Challenges Affecting SDG Implementation:</w:t>
      </w:r>
    </w:p>
    <w:p w14:paraId="19C26970" w14:textId="77777777" w:rsidR="00430997" w:rsidRPr="00645968" w:rsidRDefault="00430997" w:rsidP="00645968">
      <w:pPr>
        <w:numPr>
          <w:ilvl w:val="0"/>
          <w:numId w:val="3"/>
        </w:numPr>
        <w:jc w:val="both"/>
        <w:rPr>
          <w:rFonts w:ascii="Arial" w:hAnsi="Arial" w:cs="Arial"/>
          <w:sz w:val="22"/>
          <w:szCs w:val="22"/>
        </w:rPr>
      </w:pPr>
      <w:r w:rsidRPr="00645968">
        <w:rPr>
          <w:rFonts w:ascii="Arial" w:hAnsi="Arial" w:cs="Arial"/>
          <w:b/>
          <w:bCs/>
          <w:sz w:val="22"/>
          <w:szCs w:val="22"/>
        </w:rPr>
        <w:t>COVID-19 Impact:</w:t>
      </w:r>
      <w:r w:rsidRPr="00645968">
        <w:rPr>
          <w:rFonts w:ascii="Arial" w:hAnsi="Arial" w:cs="Arial"/>
          <w:sz w:val="22"/>
          <w:szCs w:val="22"/>
        </w:rPr>
        <w:t xml:space="preserve"> Economic disruptions, budget constraints, and reduced revenue due to a drop in commodity prices.</w:t>
      </w:r>
    </w:p>
    <w:p w14:paraId="5253B4B8" w14:textId="2E87B3E9" w:rsidR="00430997" w:rsidRPr="00645968" w:rsidRDefault="00430997" w:rsidP="00645968">
      <w:pPr>
        <w:numPr>
          <w:ilvl w:val="0"/>
          <w:numId w:val="3"/>
        </w:numPr>
        <w:jc w:val="both"/>
        <w:rPr>
          <w:rFonts w:ascii="Arial" w:hAnsi="Arial" w:cs="Arial"/>
          <w:sz w:val="22"/>
          <w:szCs w:val="22"/>
        </w:rPr>
      </w:pPr>
      <w:r w:rsidRPr="00645968">
        <w:rPr>
          <w:rFonts w:ascii="Arial" w:hAnsi="Arial" w:cs="Arial"/>
          <w:b/>
          <w:bCs/>
          <w:sz w:val="22"/>
          <w:szCs w:val="22"/>
        </w:rPr>
        <w:t>Financing Constraints:</w:t>
      </w:r>
      <w:r w:rsidRPr="00645968">
        <w:rPr>
          <w:rFonts w:ascii="Arial" w:hAnsi="Arial" w:cs="Arial"/>
          <w:sz w:val="22"/>
          <w:szCs w:val="22"/>
        </w:rPr>
        <w:t xml:space="preserve"> Limited innovative financing options for development,</w:t>
      </w:r>
      <w:r w:rsidR="009D2206" w:rsidRPr="00645968">
        <w:rPr>
          <w:rFonts w:ascii="Arial" w:hAnsi="Arial" w:cs="Arial"/>
          <w:sz w:val="22"/>
          <w:szCs w:val="22"/>
        </w:rPr>
        <w:t xml:space="preserve"> limited innovations on revenue creation by S</w:t>
      </w:r>
      <w:r w:rsidR="00052749" w:rsidRPr="00645968">
        <w:rPr>
          <w:rFonts w:ascii="Arial" w:hAnsi="Arial" w:cs="Arial"/>
          <w:sz w:val="22"/>
          <w:szCs w:val="22"/>
        </w:rPr>
        <w:t xml:space="preserve">tate </w:t>
      </w:r>
      <w:r w:rsidR="009D2206" w:rsidRPr="00645968">
        <w:rPr>
          <w:rFonts w:ascii="Arial" w:hAnsi="Arial" w:cs="Arial"/>
          <w:sz w:val="22"/>
          <w:szCs w:val="22"/>
        </w:rPr>
        <w:t>o</w:t>
      </w:r>
      <w:r w:rsidR="00052749" w:rsidRPr="00645968">
        <w:rPr>
          <w:rFonts w:ascii="Arial" w:hAnsi="Arial" w:cs="Arial"/>
          <w:sz w:val="22"/>
          <w:szCs w:val="22"/>
        </w:rPr>
        <w:t xml:space="preserve">f </w:t>
      </w:r>
      <w:r w:rsidR="009D2206" w:rsidRPr="00645968">
        <w:rPr>
          <w:rFonts w:ascii="Arial" w:hAnsi="Arial" w:cs="Arial"/>
          <w:sz w:val="22"/>
          <w:szCs w:val="22"/>
        </w:rPr>
        <w:t>E</w:t>
      </w:r>
      <w:r w:rsidR="00052749" w:rsidRPr="00645968">
        <w:rPr>
          <w:rFonts w:ascii="Arial" w:hAnsi="Arial" w:cs="Arial"/>
          <w:sz w:val="22"/>
          <w:szCs w:val="22"/>
        </w:rPr>
        <w:t>nterprises (SoEs)</w:t>
      </w:r>
      <w:r w:rsidR="00E2160F" w:rsidRPr="00645968">
        <w:rPr>
          <w:rFonts w:ascii="Arial" w:hAnsi="Arial" w:cs="Arial"/>
          <w:sz w:val="22"/>
          <w:szCs w:val="22"/>
        </w:rPr>
        <w:t xml:space="preserve"> and r</w:t>
      </w:r>
      <w:r w:rsidRPr="00645968">
        <w:rPr>
          <w:rFonts w:ascii="Arial" w:hAnsi="Arial" w:cs="Arial"/>
          <w:sz w:val="22"/>
          <w:szCs w:val="22"/>
        </w:rPr>
        <w:t>eliance on traditional funding sources.</w:t>
      </w:r>
      <w:r w:rsidR="004A23CB" w:rsidRPr="00645968">
        <w:rPr>
          <w:rFonts w:ascii="Arial" w:hAnsi="Arial" w:cs="Arial"/>
          <w:sz w:val="22"/>
          <w:szCs w:val="22"/>
        </w:rPr>
        <w:t xml:space="preserve"> Non-prioritisation and limited budget allocation by sectors </w:t>
      </w:r>
      <w:r w:rsidR="00853BBB" w:rsidRPr="00645968">
        <w:rPr>
          <w:rFonts w:ascii="Arial" w:hAnsi="Arial" w:cs="Arial"/>
          <w:sz w:val="22"/>
          <w:szCs w:val="22"/>
        </w:rPr>
        <w:t>and sub-national</w:t>
      </w:r>
      <w:r w:rsidR="00E2160F" w:rsidRPr="00645968">
        <w:rPr>
          <w:rFonts w:ascii="Arial" w:hAnsi="Arial" w:cs="Arial"/>
          <w:sz w:val="22"/>
          <w:szCs w:val="22"/>
        </w:rPr>
        <w:t xml:space="preserve"> </w:t>
      </w:r>
      <w:r w:rsidR="00645968" w:rsidRPr="00645968">
        <w:rPr>
          <w:rFonts w:ascii="Arial" w:hAnsi="Arial" w:cs="Arial"/>
          <w:sz w:val="22"/>
          <w:szCs w:val="22"/>
        </w:rPr>
        <w:t>governments</w:t>
      </w:r>
      <w:r w:rsidR="00853BBB" w:rsidRPr="00645968">
        <w:rPr>
          <w:rFonts w:ascii="Arial" w:hAnsi="Arial" w:cs="Arial"/>
          <w:sz w:val="22"/>
          <w:szCs w:val="22"/>
        </w:rPr>
        <w:t xml:space="preserve"> </w:t>
      </w:r>
      <w:r w:rsidR="004A23CB" w:rsidRPr="00645968">
        <w:rPr>
          <w:rFonts w:ascii="Arial" w:hAnsi="Arial" w:cs="Arial"/>
          <w:sz w:val="22"/>
          <w:szCs w:val="22"/>
        </w:rPr>
        <w:t>on their specific SDGs implementation.</w:t>
      </w:r>
    </w:p>
    <w:p w14:paraId="7048D82C" w14:textId="25239068" w:rsidR="00430997" w:rsidRPr="00645968" w:rsidRDefault="00430997" w:rsidP="00645968">
      <w:pPr>
        <w:numPr>
          <w:ilvl w:val="0"/>
          <w:numId w:val="3"/>
        </w:numPr>
        <w:jc w:val="both"/>
        <w:rPr>
          <w:rFonts w:ascii="Arial" w:hAnsi="Arial" w:cs="Arial"/>
          <w:sz w:val="22"/>
          <w:szCs w:val="22"/>
        </w:rPr>
      </w:pPr>
      <w:r w:rsidRPr="00645968">
        <w:rPr>
          <w:rFonts w:ascii="Arial" w:hAnsi="Arial" w:cs="Arial"/>
          <w:b/>
          <w:bCs/>
          <w:sz w:val="22"/>
          <w:szCs w:val="22"/>
        </w:rPr>
        <w:t>Data and Evidence Limitations:</w:t>
      </w:r>
      <w:r w:rsidRPr="00645968">
        <w:rPr>
          <w:rFonts w:ascii="Arial" w:hAnsi="Arial" w:cs="Arial"/>
          <w:sz w:val="22"/>
          <w:szCs w:val="22"/>
        </w:rPr>
        <w:t xml:space="preserve"> Weak coordination, limited technical capacity, and a challenging geographic landscape hinder effective SDG monitoring. </w:t>
      </w:r>
      <w:r w:rsidR="00052749" w:rsidRPr="00645968">
        <w:rPr>
          <w:rFonts w:ascii="Arial" w:hAnsi="Arial" w:cs="Arial"/>
          <w:sz w:val="22"/>
          <w:szCs w:val="22"/>
        </w:rPr>
        <w:t xml:space="preserve">Postponement, lack of preparation and </w:t>
      </w:r>
      <w:r w:rsidR="001E067D" w:rsidRPr="00645968">
        <w:rPr>
          <w:rFonts w:ascii="Arial" w:hAnsi="Arial" w:cs="Arial"/>
          <w:sz w:val="22"/>
          <w:szCs w:val="22"/>
        </w:rPr>
        <w:t xml:space="preserve">lack of funding </w:t>
      </w:r>
      <w:r w:rsidR="00052749" w:rsidRPr="00645968">
        <w:rPr>
          <w:rFonts w:ascii="Arial" w:hAnsi="Arial" w:cs="Arial"/>
          <w:sz w:val="22"/>
          <w:szCs w:val="22"/>
        </w:rPr>
        <w:t xml:space="preserve">for the National </w:t>
      </w:r>
      <w:r w:rsidR="001E067D" w:rsidRPr="00645968">
        <w:rPr>
          <w:rFonts w:ascii="Arial" w:hAnsi="Arial" w:cs="Arial"/>
          <w:sz w:val="22"/>
          <w:szCs w:val="22"/>
        </w:rPr>
        <w:t>Census</w:t>
      </w:r>
      <w:r w:rsidR="00052749" w:rsidRPr="00645968">
        <w:rPr>
          <w:rFonts w:ascii="Arial" w:hAnsi="Arial" w:cs="Arial"/>
          <w:sz w:val="22"/>
          <w:szCs w:val="22"/>
        </w:rPr>
        <w:t xml:space="preserve"> and the </w:t>
      </w:r>
      <w:r w:rsidRPr="00645968">
        <w:rPr>
          <w:rFonts w:ascii="Arial" w:hAnsi="Arial" w:cs="Arial"/>
          <w:bCs/>
          <w:sz w:val="22"/>
          <w:szCs w:val="22"/>
        </w:rPr>
        <w:t>Demographic and Health Survey (DHS</w:t>
      </w:r>
      <w:r w:rsidRPr="00645968">
        <w:rPr>
          <w:rFonts w:ascii="Arial" w:hAnsi="Arial" w:cs="Arial"/>
          <w:b/>
          <w:bCs/>
          <w:sz w:val="22"/>
          <w:szCs w:val="22"/>
        </w:rPr>
        <w:t xml:space="preserve">) </w:t>
      </w:r>
      <w:r w:rsidR="00052749" w:rsidRPr="00645968">
        <w:rPr>
          <w:rFonts w:ascii="Arial" w:hAnsi="Arial" w:cs="Arial"/>
          <w:sz w:val="22"/>
          <w:szCs w:val="22"/>
        </w:rPr>
        <w:t xml:space="preserve">have </w:t>
      </w:r>
      <w:r w:rsidR="001E067D" w:rsidRPr="00645968">
        <w:rPr>
          <w:rFonts w:ascii="Arial" w:hAnsi="Arial" w:cs="Arial"/>
          <w:sz w:val="22"/>
          <w:szCs w:val="22"/>
        </w:rPr>
        <w:t xml:space="preserve">impacted </w:t>
      </w:r>
      <w:r w:rsidR="00963583" w:rsidRPr="00645968">
        <w:rPr>
          <w:rFonts w:ascii="Arial" w:hAnsi="Arial" w:cs="Arial"/>
          <w:sz w:val="22"/>
          <w:szCs w:val="22"/>
        </w:rPr>
        <w:t xml:space="preserve">the </w:t>
      </w:r>
      <w:r w:rsidR="001E067D" w:rsidRPr="00645968">
        <w:rPr>
          <w:rFonts w:ascii="Arial" w:hAnsi="Arial" w:cs="Arial"/>
          <w:sz w:val="22"/>
          <w:szCs w:val="22"/>
        </w:rPr>
        <w:t>periodic</w:t>
      </w:r>
      <w:r w:rsidRPr="00645968">
        <w:rPr>
          <w:rFonts w:ascii="Arial" w:hAnsi="Arial" w:cs="Arial"/>
          <w:sz w:val="22"/>
          <w:szCs w:val="22"/>
        </w:rPr>
        <w:t xml:space="preserve"> SDG reporting and governance.</w:t>
      </w:r>
    </w:p>
    <w:p w14:paraId="359A0E50" w14:textId="3746ED47" w:rsidR="00430997" w:rsidRPr="00645968" w:rsidRDefault="00645968" w:rsidP="00645968">
      <w:pPr>
        <w:jc w:val="both"/>
        <w:rPr>
          <w:rFonts w:ascii="Arial" w:hAnsi="Arial" w:cs="Arial"/>
          <w:sz w:val="22"/>
          <w:szCs w:val="22"/>
        </w:rPr>
      </w:pPr>
      <w:r w:rsidRPr="00645968">
        <w:rPr>
          <w:rFonts w:ascii="Arial" w:hAnsi="Arial" w:cs="Arial"/>
          <w:sz w:val="22"/>
          <w:szCs w:val="22"/>
        </w:rPr>
        <w:t>PNG introduced several governance mechanisms to strengthen SDG implementation</w:t>
      </w:r>
      <w:r w:rsidR="00430997" w:rsidRPr="00645968">
        <w:rPr>
          <w:rFonts w:ascii="Arial" w:hAnsi="Arial" w:cs="Arial"/>
          <w:sz w:val="22"/>
          <w:szCs w:val="22"/>
        </w:rPr>
        <w:t>, including the National Strategy for Responsible Sustainable Development (StaRS) and the National Planning and Monitoring Responsibility Act (2016). The SDG-MTDP Governance Mechanism was also proposed to streamline coordination through a national steering committee, inter-ministerial committee, multi-sectoral SDG Council, and sectoral technical working groups.</w:t>
      </w:r>
    </w:p>
    <w:p w14:paraId="7223F67D" w14:textId="70BD6255" w:rsidR="00430997" w:rsidRPr="00645968" w:rsidRDefault="00645968" w:rsidP="00645968">
      <w:pPr>
        <w:jc w:val="both"/>
        <w:rPr>
          <w:rFonts w:ascii="Arial" w:hAnsi="Arial" w:cs="Arial"/>
          <w:sz w:val="22"/>
          <w:szCs w:val="22"/>
        </w:rPr>
      </w:pPr>
      <w:r w:rsidRPr="00645968">
        <w:rPr>
          <w:rFonts w:ascii="Arial" w:hAnsi="Arial" w:cs="Arial"/>
          <w:sz w:val="22"/>
          <w:szCs w:val="22"/>
        </w:rPr>
        <w:t xml:space="preserve">The National Development Budget also </w:t>
      </w:r>
      <w:r w:rsidR="00430997" w:rsidRPr="00645968">
        <w:rPr>
          <w:rFonts w:ascii="Arial" w:hAnsi="Arial" w:cs="Arial"/>
          <w:sz w:val="22"/>
          <w:szCs w:val="22"/>
        </w:rPr>
        <w:t>plays a crucial role in funding SDGs through the Capital Investment Programme, while the Development Cooperation Policy (2018-2022) guides alignment between development partners and national priorities. PNG’s Public-Private Partnership framework, Civil Society Organization (CSO) Partnership Policy, Open Government Partnership, and the Consultative Implementation and Monitoring Council (CIMC) have further reinforced collaboration between the government and stakeholders.</w:t>
      </w:r>
    </w:p>
    <w:p w14:paraId="5E882DCE" w14:textId="3D922B1D" w:rsidR="00430997" w:rsidRPr="00645968" w:rsidRDefault="00430997" w:rsidP="00645968">
      <w:pPr>
        <w:jc w:val="both"/>
        <w:rPr>
          <w:rFonts w:ascii="Arial" w:hAnsi="Arial" w:cs="Arial"/>
          <w:sz w:val="22"/>
          <w:szCs w:val="22"/>
        </w:rPr>
      </w:pPr>
      <w:r w:rsidRPr="00645968">
        <w:rPr>
          <w:rFonts w:ascii="Arial" w:hAnsi="Arial" w:cs="Arial"/>
          <w:sz w:val="22"/>
          <w:szCs w:val="22"/>
        </w:rPr>
        <w:t>Building on lessons from the 2020 VNR, PNG is preparing its second Voluntary National Review (VNR) for the 2025 HLPF</w:t>
      </w:r>
      <w:r w:rsidR="005F1B11" w:rsidRPr="00645968">
        <w:rPr>
          <w:rFonts w:ascii="Arial" w:hAnsi="Arial" w:cs="Arial"/>
          <w:sz w:val="22"/>
          <w:szCs w:val="22"/>
        </w:rPr>
        <w:t xml:space="preserve"> to be presented in July by the Prime Minister, in New York</w:t>
      </w:r>
      <w:r w:rsidRPr="00645968">
        <w:rPr>
          <w:rFonts w:ascii="Arial" w:hAnsi="Arial" w:cs="Arial"/>
          <w:sz w:val="22"/>
          <w:szCs w:val="22"/>
        </w:rPr>
        <w:t>, with a focus on deepening national ownership of the SDGs and addressing implementation challenges. The 2025 VNR will emphasize:</w:t>
      </w:r>
    </w:p>
    <w:p w14:paraId="29522B4D" w14:textId="022DC7EC" w:rsidR="00430997" w:rsidRPr="00645968" w:rsidRDefault="00430997" w:rsidP="00645968">
      <w:pPr>
        <w:numPr>
          <w:ilvl w:val="0"/>
          <w:numId w:val="4"/>
        </w:numPr>
        <w:jc w:val="both"/>
        <w:rPr>
          <w:rFonts w:ascii="Arial" w:hAnsi="Arial" w:cs="Arial"/>
          <w:sz w:val="22"/>
          <w:szCs w:val="22"/>
        </w:rPr>
      </w:pPr>
      <w:r w:rsidRPr="00645968">
        <w:rPr>
          <w:rFonts w:ascii="Arial" w:hAnsi="Arial" w:cs="Arial"/>
          <w:sz w:val="22"/>
          <w:szCs w:val="22"/>
        </w:rPr>
        <w:t>A Whole-of-Society Approach: Strengthening stakeholder engagement across government, private sector, civil society, development partners, and communities</w:t>
      </w:r>
      <w:r w:rsidR="003A3A05" w:rsidRPr="00645968">
        <w:rPr>
          <w:rFonts w:ascii="Arial" w:hAnsi="Arial" w:cs="Arial"/>
          <w:sz w:val="22"/>
          <w:szCs w:val="22"/>
        </w:rPr>
        <w:t>;</w:t>
      </w:r>
    </w:p>
    <w:p w14:paraId="5053FF4A" w14:textId="315B5C23" w:rsidR="00430997" w:rsidRPr="00645968" w:rsidRDefault="00430997" w:rsidP="00645968">
      <w:pPr>
        <w:numPr>
          <w:ilvl w:val="0"/>
          <w:numId w:val="4"/>
        </w:numPr>
        <w:jc w:val="both"/>
        <w:rPr>
          <w:rFonts w:ascii="Arial" w:hAnsi="Arial" w:cs="Arial"/>
          <w:sz w:val="22"/>
          <w:szCs w:val="22"/>
        </w:rPr>
      </w:pPr>
      <w:r w:rsidRPr="00645968">
        <w:rPr>
          <w:rFonts w:ascii="Arial" w:hAnsi="Arial" w:cs="Arial"/>
          <w:sz w:val="22"/>
          <w:szCs w:val="22"/>
        </w:rPr>
        <w:t>Inclusive Economic Growth: Enhancing employment, entrepreneurship, and financial inclusion to foster sustainable and equitable development</w:t>
      </w:r>
      <w:r w:rsidR="003A3A05" w:rsidRPr="00645968">
        <w:rPr>
          <w:rFonts w:ascii="Arial" w:hAnsi="Arial" w:cs="Arial"/>
          <w:sz w:val="22"/>
          <w:szCs w:val="22"/>
        </w:rPr>
        <w:t>;</w:t>
      </w:r>
    </w:p>
    <w:p w14:paraId="41759D50" w14:textId="18EA756C" w:rsidR="00430997" w:rsidRPr="00645968" w:rsidRDefault="00430997" w:rsidP="00645968">
      <w:pPr>
        <w:numPr>
          <w:ilvl w:val="0"/>
          <w:numId w:val="4"/>
        </w:numPr>
        <w:jc w:val="both"/>
        <w:rPr>
          <w:rFonts w:ascii="Arial" w:hAnsi="Arial" w:cs="Arial"/>
          <w:sz w:val="22"/>
          <w:szCs w:val="22"/>
        </w:rPr>
      </w:pPr>
      <w:r w:rsidRPr="00645968">
        <w:rPr>
          <w:rFonts w:ascii="Arial" w:hAnsi="Arial" w:cs="Arial"/>
          <w:sz w:val="22"/>
          <w:szCs w:val="22"/>
        </w:rPr>
        <w:t>Climate Resilience &amp; Environmental Sustainability: Aligning efforts with PNG’s commitments to climate adaptation, biodiversity conservation, and sustainable resource management</w:t>
      </w:r>
      <w:r w:rsidR="003A3A05" w:rsidRPr="00645968">
        <w:rPr>
          <w:rFonts w:ascii="Arial" w:hAnsi="Arial" w:cs="Arial"/>
          <w:sz w:val="22"/>
          <w:szCs w:val="22"/>
        </w:rPr>
        <w:t>;</w:t>
      </w:r>
    </w:p>
    <w:p w14:paraId="5820E153" w14:textId="75A77E62" w:rsidR="00430997" w:rsidRPr="00645968" w:rsidRDefault="00430997" w:rsidP="00645968">
      <w:pPr>
        <w:numPr>
          <w:ilvl w:val="0"/>
          <w:numId w:val="4"/>
        </w:numPr>
        <w:jc w:val="both"/>
        <w:rPr>
          <w:rFonts w:ascii="Arial" w:hAnsi="Arial" w:cs="Arial"/>
          <w:sz w:val="22"/>
          <w:szCs w:val="22"/>
        </w:rPr>
      </w:pPr>
      <w:r w:rsidRPr="00645968">
        <w:rPr>
          <w:rFonts w:ascii="Arial" w:hAnsi="Arial" w:cs="Arial"/>
          <w:sz w:val="22"/>
          <w:szCs w:val="22"/>
        </w:rPr>
        <w:t>Digital Transformation: Leveraging technology and data-driven solutions to improve governance, service delivery, and SDG monitoring</w:t>
      </w:r>
      <w:r w:rsidR="003A3A05" w:rsidRPr="00645968">
        <w:rPr>
          <w:rFonts w:ascii="Arial" w:hAnsi="Arial" w:cs="Arial"/>
          <w:sz w:val="22"/>
          <w:szCs w:val="22"/>
        </w:rPr>
        <w:t>; and,</w:t>
      </w:r>
    </w:p>
    <w:p w14:paraId="00711023" w14:textId="77777777" w:rsidR="00430997" w:rsidRPr="00645968" w:rsidRDefault="00430997" w:rsidP="00645968">
      <w:pPr>
        <w:numPr>
          <w:ilvl w:val="0"/>
          <w:numId w:val="4"/>
        </w:numPr>
        <w:jc w:val="both"/>
        <w:rPr>
          <w:rFonts w:ascii="Arial" w:hAnsi="Arial" w:cs="Arial"/>
          <w:sz w:val="22"/>
          <w:szCs w:val="22"/>
        </w:rPr>
      </w:pPr>
      <w:r w:rsidRPr="00645968">
        <w:rPr>
          <w:rFonts w:ascii="Arial" w:hAnsi="Arial" w:cs="Arial"/>
          <w:sz w:val="22"/>
          <w:szCs w:val="22"/>
        </w:rPr>
        <w:t>Leaving No One Behind (LNOB): Ensuring that vulnerable and marginalized populations, particularly in remote areas, have equitable access to opportunities and essential services.</w:t>
      </w:r>
    </w:p>
    <w:p w14:paraId="0C84C02C" w14:textId="77777777" w:rsidR="00430997" w:rsidRPr="00645968" w:rsidRDefault="00430997" w:rsidP="00645968">
      <w:pPr>
        <w:jc w:val="both"/>
        <w:rPr>
          <w:rFonts w:ascii="Arial" w:hAnsi="Arial" w:cs="Arial"/>
          <w:sz w:val="22"/>
          <w:szCs w:val="22"/>
        </w:rPr>
      </w:pPr>
      <w:r w:rsidRPr="00645968">
        <w:rPr>
          <w:rFonts w:ascii="Arial" w:hAnsi="Arial" w:cs="Arial"/>
          <w:sz w:val="22"/>
          <w:szCs w:val="22"/>
        </w:rPr>
        <w:lastRenderedPageBreak/>
        <w:t>Through this process, PNG aims to strengthen policy implementation, mobilize resources for SDG acceleration, and reinforce its long-term vision under Vision 2050 and the Medium-Term Development Plan (MTDP) framework.</w:t>
      </w:r>
    </w:p>
    <w:p w14:paraId="4F8B1531" w14:textId="77777777" w:rsidR="00430997" w:rsidRPr="00645968" w:rsidRDefault="00430997" w:rsidP="00645968">
      <w:pPr>
        <w:jc w:val="both"/>
        <w:rPr>
          <w:rFonts w:ascii="Arial" w:hAnsi="Arial" w:cs="Arial"/>
          <w:sz w:val="22"/>
          <w:szCs w:val="22"/>
        </w:rPr>
      </w:pPr>
      <w:r w:rsidRPr="00645968">
        <w:rPr>
          <w:rFonts w:ascii="Arial" w:hAnsi="Arial" w:cs="Arial"/>
          <w:sz w:val="22"/>
          <w:szCs w:val="22"/>
        </w:rPr>
        <w:t>PNG’s VNR journey underscores the importance of multi-stakeholder collaboration in achieving sustainable development. Meaningful partnerships with development partners, private sector actors, civil society, and international organizations remain vital in localizing the SDGs and mobilizing the resources required to bridge gaps in implementation.</w:t>
      </w:r>
    </w:p>
    <w:p w14:paraId="25B8E706" w14:textId="4F250835" w:rsidR="00430997" w:rsidRPr="00645968" w:rsidRDefault="00430997" w:rsidP="00645968">
      <w:pPr>
        <w:jc w:val="both"/>
        <w:rPr>
          <w:rFonts w:ascii="Arial" w:hAnsi="Arial" w:cs="Arial"/>
          <w:sz w:val="22"/>
          <w:szCs w:val="22"/>
        </w:rPr>
      </w:pPr>
      <w:r w:rsidRPr="00645968">
        <w:rPr>
          <w:rFonts w:ascii="Arial" w:hAnsi="Arial" w:cs="Arial"/>
          <w:sz w:val="22"/>
          <w:szCs w:val="22"/>
        </w:rPr>
        <w:t xml:space="preserve">The Department of National Planning and Monitoring (DNPM) continues to play a leading role in coordinating SDG implementation, monitoring, and reporting </w:t>
      </w:r>
      <w:r w:rsidR="005605E9" w:rsidRPr="00645968">
        <w:rPr>
          <w:rFonts w:ascii="Arial" w:hAnsi="Arial" w:cs="Arial"/>
          <w:sz w:val="22"/>
          <w:szCs w:val="22"/>
        </w:rPr>
        <w:t xml:space="preserve">through the VNR </w:t>
      </w:r>
      <w:r w:rsidRPr="00645968">
        <w:rPr>
          <w:rFonts w:ascii="Arial" w:hAnsi="Arial" w:cs="Arial"/>
          <w:sz w:val="22"/>
          <w:szCs w:val="22"/>
        </w:rPr>
        <w:t xml:space="preserve">to ensure that PNG remains on track </w:t>
      </w:r>
      <w:r w:rsidR="008A20A8" w:rsidRPr="00645968">
        <w:rPr>
          <w:rFonts w:ascii="Arial" w:hAnsi="Arial" w:cs="Arial"/>
          <w:sz w:val="22"/>
          <w:szCs w:val="22"/>
        </w:rPr>
        <w:t xml:space="preserve">and committed </w:t>
      </w:r>
      <w:r w:rsidR="00645968" w:rsidRPr="00645968">
        <w:rPr>
          <w:rFonts w:ascii="Arial" w:hAnsi="Arial" w:cs="Arial"/>
          <w:sz w:val="22"/>
          <w:szCs w:val="22"/>
        </w:rPr>
        <w:t>to</w:t>
      </w:r>
      <w:r w:rsidRPr="00645968">
        <w:rPr>
          <w:rFonts w:ascii="Arial" w:hAnsi="Arial" w:cs="Arial"/>
          <w:sz w:val="22"/>
          <w:szCs w:val="22"/>
        </w:rPr>
        <w:t xml:space="preserve"> achieving its national </w:t>
      </w:r>
      <w:r w:rsidR="008A20A8" w:rsidRPr="00645968">
        <w:rPr>
          <w:rFonts w:ascii="Arial" w:hAnsi="Arial" w:cs="Arial"/>
          <w:sz w:val="22"/>
          <w:szCs w:val="22"/>
        </w:rPr>
        <w:t>and</w:t>
      </w:r>
      <w:r w:rsidR="007364E5" w:rsidRPr="00645968">
        <w:rPr>
          <w:rFonts w:ascii="Arial" w:hAnsi="Arial" w:cs="Arial"/>
          <w:sz w:val="22"/>
          <w:szCs w:val="22"/>
        </w:rPr>
        <w:t xml:space="preserve"> </w:t>
      </w:r>
      <w:r w:rsidRPr="00645968">
        <w:rPr>
          <w:rFonts w:ascii="Arial" w:hAnsi="Arial" w:cs="Arial"/>
          <w:sz w:val="22"/>
          <w:szCs w:val="22"/>
        </w:rPr>
        <w:t xml:space="preserve">global </w:t>
      </w:r>
      <w:r w:rsidR="008A20A8" w:rsidRPr="00645968">
        <w:rPr>
          <w:rFonts w:ascii="Arial" w:hAnsi="Arial" w:cs="Arial"/>
          <w:sz w:val="22"/>
          <w:szCs w:val="22"/>
        </w:rPr>
        <w:t>development agenda</w:t>
      </w:r>
      <w:r w:rsidRPr="00645968">
        <w:rPr>
          <w:rFonts w:ascii="Arial" w:hAnsi="Arial" w:cs="Arial"/>
          <w:sz w:val="22"/>
          <w:szCs w:val="22"/>
        </w:rPr>
        <w:t>.</w:t>
      </w:r>
    </w:p>
    <w:p w14:paraId="6DF6A137" w14:textId="77777777" w:rsidR="007949F6" w:rsidRPr="00645968" w:rsidRDefault="007949F6" w:rsidP="00645968">
      <w:pPr>
        <w:jc w:val="both"/>
        <w:rPr>
          <w:rFonts w:ascii="Arial" w:hAnsi="Arial" w:cs="Arial"/>
          <w:sz w:val="22"/>
          <w:szCs w:val="22"/>
        </w:rPr>
      </w:pPr>
    </w:p>
    <w:p w14:paraId="2C29668A" w14:textId="0AB3995B" w:rsidR="00FF4195" w:rsidRPr="00645968" w:rsidRDefault="00FF4195" w:rsidP="00645968">
      <w:pPr>
        <w:jc w:val="both"/>
        <w:rPr>
          <w:rFonts w:ascii="Arial" w:hAnsi="Arial" w:cs="Arial"/>
          <w:sz w:val="22"/>
          <w:szCs w:val="22"/>
        </w:rPr>
      </w:pPr>
    </w:p>
    <w:p w14:paraId="1E9B8436" w14:textId="2334B0DF" w:rsidR="007949F6" w:rsidRPr="00645968" w:rsidRDefault="007949F6" w:rsidP="00645968">
      <w:pPr>
        <w:jc w:val="both"/>
        <w:rPr>
          <w:rFonts w:ascii="Arial" w:hAnsi="Arial" w:cs="Arial"/>
          <w:sz w:val="22"/>
          <w:szCs w:val="22"/>
        </w:rPr>
      </w:pPr>
    </w:p>
    <w:sectPr w:rsidR="007949F6" w:rsidRPr="00645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62C41"/>
    <w:multiLevelType w:val="hybridMultilevel"/>
    <w:tmpl w:val="0436E6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1A256F"/>
    <w:multiLevelType w:val="multilevel"/>
    <w:tmpl w:val="BBB0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84087A"/>
    <w:multiLevelType w:val="multilevel"/>
    <w:tmpl w:val="AE9A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4228A2"/>
    <w:multiLevelType w:val="hybridMultilevel"/>
    <w:tmpl w:val="202827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2804299"/>
    <w:multiLevelType w:val="multilevel"/>
    <w:tmpl w:val="5330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274097"/>
    <w:multiLevelType w:val="hybridMultilevel"/>
    <w:tmpl w:val="57E2DE8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2FF60E8"/>
    <w:multiLevelType w:val="multilevel"/>
    <w:tmpl w:val="D598E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426391">
    <w:abstractNumId w:val="1"/>
  </w:num>
  <w:num w:numId="2" w16cid:durableId="1335694038">
    <w:abstractNumId w:val="6"/>
  </w:num>
  <w:num w:numId="3" w16cid:durableId="462190748">
    <w:abstractNumId w:val="2"/>
  </w:num>
  <w:num w:numId="4" w16cid:durableId="967474381">
    <w:abstractNumId w:val="4"/>
  </w:num>
  <w:num w:numId="5" w16cid:durableId="1913738783">
    <w:abstractNumId w:val="3"/>
  </w:num>
  <w:num w:numId="6" w16cid:durableId="725223396">
    <w:abstractNumId w:val="5"/>
  </w:num>
  <w:num w:numId="7" w16cid:durableId="578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A01"/>
    <w:rsid w:val="00052749"/>
    <w:rsid w:val="000F1B75"/>
    <w:rsid w:val="00100B55"/>
    <w:rsid w:val="0011311F"/>
    <w:rsid w:val="001E067D"/>
    <w:rsid w:val="001F090A"/>
    <w:rsid w:val="002C7A2C"/>
    <w:rsid w:val="00344016"/>
    <w:rsid w:val="00374F51"/>
    <w:rsid w:val="00375B9D"/>
    <w:rsid w:val="003A3A05"/>
    <w:rsid w:val="00430997"/>
    <w:rsid w:val="00435F9D"/>
    <w:rsid w:val="00437097"/>
    <w:rsid w:val="004A23CB"/>
    <w:rsid w:val="005605E9"/>
    <w:rsid w:val="005F1B11"/>
    <w:rsid w:val="00645968"/>
    <w:rsid w:val="006D7786"/>
    <w:rsid w:val="007364E5"/>
    <w:rsid w:val="007949F6"/>
    <w:rsid w:val="00812C70"/>
    <w:rsid w:val="00832C80"/>
    <w:rsid w:val="00853BBB"/>
    <w:rsid w:val="008A20A8"/>
    <w:rsid w:val="008B799F"/>
    <w:rsid w:val="00963583"/>
    <w:rsid w:val="009D2206"/>
    <w:rsid w:val="00A86CE6"/>
    <w:rsid w:val="00AF60DC"/>
    <w:rsid w:val="00B20935"/>
    <w:rsid w:val="00CC42DA"/>
    <w:rsid w:val="00DE1B6A"/>
    <w:rsid w:val="00E2160F"/>
    <w:rsid w:val="00F54C33"/>
    <w:rsid w:val="00F77A01"/>
    <w:rsid w:val="00FD0013"/>
    <w:rsid w:val="00FF4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830925"/>
  <w15:chartTrackingRefBased/>
  <w15:docId w15:val="{4D74212D-AA43-4FF1-8B69-9EC73D64C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7A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7A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7A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7A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7A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7A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7A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7A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7A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7A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7A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7A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7A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7A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7A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7A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7A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7A01"/>
    <w:rPr>
      <w:rFonts w:eastAsiaTheme="majorEastAsia" w:cstheme="majorBidi"/>
      <w:color w:val="272727" w:themeColor="text1" w:themeTint="D8"/>
    </w:rPr>
  </w:style>
  <w:style w:type="paragraph" w:styleId="Title">
    <w:name w:val="Title"/>
    <w:basedOn w:val="Normal"/>
    <w:next w:val="Normal"/>
    <w:link w:val="TitleChar"/>
    <w:uiPriority w:val="10"/>
    <w:qFormat/>
    <w:rsid w:val="00F77A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7A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7A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7A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7A01"/>
    <w:pPr>
      <w:spacing w:before="160"/>
      <w:jc w:val="center"/>
    </w:pPr>
    <w:rPr>
      <w:i/>
      <w:iCs/>
      <w:color w:val="404040" w:themeColor="text1" w:themeTint="BF"/>
    </w:rPr>
  </w:style>
  <w:style w:type="character" w:customStyle="1" w:styleId="QuoteChar">
    <w:name w:val="Quote Char"/>
    <w:basedOn w:val="DefaultParagraphFont"/>
    <w:link w:val="Quote"/>
    <w:uiPriority w:val="29"/>
    <w:rsid w:val="00F77A01"/>
    <w:rPr>
      <w:i/>
      <w:iCs/>
      <w:color w:val="404040" w:themeColor="text1" w:themeTint="BF"/>
    </w:rPr>
  </w:style>
  <w:style w:type="paragraph" w:styleId="ListParagraph">
    <w:name w:val="List Paragraph"/>
    <w:basedOn w:val="Normal"/>
    <w:uiPriority w:val="34"/>
    <w:qFormat/>
    <w:rsid w:val="00F77A01"/>
    <w:pPr>
      <w:ind w:left="720"/>
      <w:contextualSpacing/>
    </w:pPr>
  </w:style>
  <w:style w:type="character" w:styleId="IntenseEmphasis">
    <w:name w:val="Intense Emphasis"/>
    <w:basedOn w:val="DefaultParagraphFont"/>
    <w:uiPriority w:val="21"/>
    <w:qFormat/>
    <w:rsid w:val="00F77A01"/>
    <w:rPr>
      <w:i/>
      <w:iCs/>
      <w:color w:val="0F4761" w:themeColor="accent1" w:themeShade="BF"/>
    </w:rPr>
  </w:style>
  <w:style w:type="paragraph" w:styleId="IntenseQuote">
    <w:name w:val="Intense Quote"/>
    <w:basedOn w:val="Normal"/>
    <w:next w:val="Normal"/>
    <w:link w:val="IntenseQuoteChar"/>
    <w:uiPriority w:val="30"/>
    <w:qFormat/>
    <w:rsid w:val="00F77A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7A01"/>
    <w:rPr>
      <w:i/>
      <w:iCs/>
      <w:color w:val="0F4761" w:themeColor="accent1" w:themeShade="BF"/>
    </w:rPr>
  </w:style>
  <w:style w:type="character" w:styleId="IntenseReference">
    <w:name w:val="Intense Reference"/>
    <w:basedOn w:val="DefaultParagraphFont"/>
    <w:uiPriority w:val="32"/>
    <w:qFormat/>
    <w:rsid w:val="00F77A01"/>
    <w:rPr>
      <w:b/>
      <w:bCs/>
      <w:smallCaps/>
      <w:color w:val="0F4761" w:themeColor="accent1" w:themeShade="BF"/>
      <w:spacing w:val="5"/>
    </w:rPr>
  </w:style>
  <w:style w:type="character" w:styleId="Hyperlink">
    <w:name w:val="Hyperlink"/>
    <w:basedOn w:val="DefaultParagraphFont"/>
    <w:uiPriority w:val="99"/>
    <w:unhideWhenUsed/>
    <w:rsid w:val="00F77A01"/>
    <w:rPr>
      <w:color w:val="467886" w:themeColor="hyperlink"/>
      <w:u w:val="single"/>
    </w:rPr>
  </w:style>
  <w:style w:type="character" w:customStyle="1" w:styleId="UnresolvedMention1">
    <w:name w:val="Unresolved Mention1"/>
    <w:basedOn w:val="DefaultParagraphFont"/>
    <w:uiPriority w:val="99"/>
    <w:semiHidden/>
    <w:unhideWhenUsed/>
    <w:rsid w:val="00F77A01"/>
    <w:rPr>
      <w:color w:val="605E5C"/>
      <w:shd w:val="clear" w:color="auto" w:fill="E1DFDD"/>
    </w:rPr>
  </w:style>
  <w:style w:type="paragraph" w:styleId="BalloonText">
    <w:name w:val="Balloon Text"/>
    <w:basedOn w:val="Normal"/>
    <w:link w:val="BalloonTextChar"/>
    <w:uiPriority w:val="99"/>
    <w:semiHidden/>
    <w:unhideWhenUsed/>
    <w:rsid w:val="001131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11F"/>
    <w:rPr>
      <w:rFonts w:ascii="Segoe UI" w:hAnsi="Segoe UI" w:cs="Segoe UI"/>
      <w:sz w:val="18"/>
      <w:szCs w:val="18"/>
    </w:rPr>
  </w:style>
  <w:style w:type="paragraph" w:styleId="Revision">
    <w:name w:val="Revision"/>
    <w:hidden/>
    <w:uiPriority w:val="99"/>
    <w:semiHidden/>
    <w:rsid w:val="006459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684414">
      <w:bodyDiv w:val="1"/>
      <w:marLeft w:val="0"/>
      <w:marRight w:val="0"/>
      <w:marTop w:val="0"/>
      <w:marBottom w:val="0"/>
      <w:divBdr>
        <w:top w:val="none" w:sz="0" w:space="0" w:color="auto"/>
        <w:left w:val="none" w:sz="0" w:space="0" w:color="auto"/>
        <w:bottom w:val="none" w:sz="0" w:space="0" w:color="auto"/>
        <w:right w:val="none" w:sz="0" w:space="0" w:color="auto"/>
      </w:divBdr>
    </w:div>
    <w:div w:id="313722478">
      <w:bodyDiv w:val="1"/>
      <w:marLeft w:val="0"/>
      <w:marRight w:val="0"/>
      <w:marTop w:val="0"/>
      <w:marBottom w:val="0"/>
      <w:divBdr>
        <w:top w:val="none" w:sz="0" w:space="0" w:color="auto"/>
        <w:left w:val="none" w:sz="0" w:space="0" w:color="auto"/>
        <w:bottom w:val="none" w:sz="0" w:space="0" w:color="auto"/>
        <w:right w:val="none" w:sz="0" w:space="0" w:color="auto"/>
      </w:divBdr>
    </w:div>
    <w:div w:id="724523643">
      <w:bodyDiv w:val="1"/>
      <w:marLeft w:val="0"/>
      <w:marRight w:val="0"/>
      <w:marTop w:val="0"/>
      <w:marBottom w:val="0"/>
      <w:divBdr>
        <w:top w:val="none" w:sz="0" w:space="0" w:color="auto"/>
        <w:left w:val="none" w:sz="0" w:space="0" w:color="auto"/>
        <w:bottom w:val="none" w:sz="0" w:space="0" w:color="auto"/>
        <w:right w:val="none" w:sz="0" w:space="0" w:color="auto"/>
      </w:divBdr>
    </w:div>
    <w:div w:id="828013086">
      <w:bodyDiv w:val="1"/>
      <w:marLeft w:val="0"/>
      <w:marRight w:val="0"/>
      <w:marTop w:val="0"/>
      <w:marBottom w:val="0"/>
      <w:divBdr>
        <w:top w:val="none" w:sz="0" w:space="0" w:color="auto"/>
        <w:left w:val="none" w:sz="0" w:space="0" w:color="auto"/>
        <w:bottom w:val="none" w:sz="0" w:space="0" w:color="auto"/>
        <w:right w:val="none" w:sz="0" w:space="0" w:color="auto"/>
      </w:divBdr>
    </w:div>
    <w:div w:id="923491904">
      <w:bodyDiv w:val="1"/>
      <w:marLeft w:val="0"/>
      <w:marRight w:val="0"/>
      <w:marTop w:val="0"/>
      <w:marBottom w:val="0"/>
      <w:divBdr>
        <w:top w:val="none" w:sz="0" w:space="0" w:color="auto"/>
        <w:left w:val="none" w:sz="0" w:space="0" w:color="auto"/>
        <w:bottom w:val="none" w:sz="0" w:space="0" w:color="auto"/>
        <w:right w:val="none" w:sz="0" w:space="0" w:color="auto"/>
      </w:divBdr>
      <w:divsChild>
        <w:div w:id="325943203">
          <w:marLeft w:val="0"/>
          <w:marRight w:val="0"/>
          <w:marTop w:val="0"/>
          <w:marBottom w:val="0"/>
          <w:divBdr>
            <w:top w:val="none" w:sz="0" w:space="0" w:color="auto"/>
            <w:left w:val="none" w:sz="0" w:space="0" w:color="auto"/>
            <w:bottom w:val="none" w:sz="0" w:space="0" w:color="auto"/>
            <w:right w:val="none" w:sz="0" w:space="0" w:color="auto"/>
          </w:divBdr>
          <w:divsChild>
            <w:div w:id="87510646">
              <w:marLeft w:val="-225"/>
              <w:marRight w:val="-225"/>
              <w:marTop w:val="0"/>
              <w:marBottom w:val="0"/>
              <w:divBdr>
                <w:top w:val="none" w:sz="0" w:space="0" w:color="auto"/>
                <w:left w:val="none" w:sz="0" w:space="0" w:color="auto"/>
                <w:bottom w:val="none" w:sz="0" w:space="0" w:color="auto"/>
                <w:right w:val="none" w:sz="0" w:space="0" w:color="auto"/>
              </w:divBdr>
              <w:divsChild>
                <w:div w:id="1397321179">
                  <w:marLeft w:val="0"/>
                  <w:marRight w:val="0"/>
                  <w:marTop w:val="0"/>
                  <w:marBottom w:val="0"/>
                  <w:divBdr>
                    <w:top w:val="none" w:sz="0" w:space="0" w:color="auto"/>
                    <w:left w:val="none" w:sz="0" w:space="0" w:color="auto"/>
                    <w:bottom w:val="none" w:sz="0" w:space="0" w:color="auto"/>
                    <w:right w:val="none" w:sz="0" w:space="0" w:color="auto"/>
                  </w:divBdr>
                  <w:divsChild>
                    <w:div w:id="317225671">
                      <w:marLeft w:val="0"/>
                      <w:marRight w:val="0"/>
                      <w:marTop w:val="0"/>
                      <w:marBottom w:val="0"/>
                      <w:divBdr>
                        <w:top w:val="none" w:sz="0" w:space="0" w:color="auto"/>
                        <w:left w:val="none" w:sz="0" w:space="0" w:color="auto"/>
                        <w:bottom w:val="none" w:sz="0" w:space="0" w:color="auto"/>
                        <w:right w:val="none" w:sz="0" w:space="0" w:color="auto"/>
                      </w:divBdr>
                      <w:divsChild>
                        <w:div w:id="1162433519">
                          <w:marLeft w:val="-225"/>
                          <w:marRight w:val="-225"/>
                          <w:marTop w:val="0"/>
                          <w:marBottom w:val="0"/>
                          <w:divBdr>
                            <w:top w:val="none" w:sz="0" w:space="0" w:color="auto"/>
                            <w:left w:val="none" w:sz="0" w:space="0" w:color="auto"/>
                            <w:bottom w:val="none" w:sz="0" w:space="0" w:color="auto"/>
                            <w:right w:val="none" w:sz="0" w:space="0" w:color="auto"/>
                          </w:divBdr>
                          <w:divsChild>
                            <w:div w:id="1663392152">
                              <w:marLeft w:val="0"/>
                              <w:marRight w:val="0"/>
                              <w:marTop w:val="0"/>
                              <w:marBottom w:val="0"/>
                              <w:divBdr>
                                <w:top w:val="none" w:sz="0" w:space="0" w:color="auto"/>
                                <w:left w:val="none" w:sz="0" w:space="0" w:color="auto"/>
                                <w:bottom w:val="none" w:sz="0" w:space="0" w:color="auto"/>
                                <w:right w:val="none" w:sz="0" w:space="0" w:color="auto"/>
                              </w:divBdr>
                              <w:divsChild>
                                <w:div w:id="206039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1202771">
          <w:marLeft w:val="0"/>
          <w:marRight w:val="0"/>
          <w:marTop w:val="0"/>
          <w:marBottom w:val="0"/>
          <w:divBdr>
            <w:top w:val="none" w:sz="0" w:space="0" w:color="auto"/>
            <w:left w:val="none" w:sz="0" w:space="0" w:color="auto"/>
            <w:bottom w:val="none" w:sz="0" w:space="0" w:color="auto"/>
            <w:right w:val="none" w:sz="0" w:space="0" w:color="auto"/>
          </w:divBdr>
          <w:divsChild>
            <w:div w:id="1825200853">
              <w:marLeft w:val="0"/>
              <w:marRight w:val="0"/>
              <w:marTop w:val="0"/>
              <w:marBottom w:val="0"/>
              <w:divBdr>
                <w:top w:val="none" w:sz="0" w:space="0" w:color="auto"/>
                <w:left w:val="none" w:sz="0" w:space="0" w:color="auto"/>
                <w:bottom w:val="none" w:sz="0" w:space="0" w:color="auto"/>
                <w:right w:val="none" w:sz="0" w:space="0" w:color="auto"/>
              </w:divBdr>
              <w:divsChild>
                <w:div w:id="493766787">
                  <w:marLeft w:val="-225"/>
                  <w:marRight w:val="-225"/>
                  <w:marTop w:val="0"/>
                  <w:marBottom w:val="0"/>
                  <w:divBdr>
                    <w:top w:val="none" w:sz="0" w:space="0" w:color="auto"/>
                    <w:left w:val="none" w:sz="0" w:space="0" w:color="auto"/>
                    <w:bottom w:val="none" w:sz="0" w:space="0" w:color="auto"/>
                    <w:right w:val="none" w:sz="0" w:space="0" w:color="auto"/>
                  </w:divBdr>
                  <w:divsChild>
                    <w:div w:id="1661422832">
                      <w:marLeft w:val="0"/>
                      <w:marRight w:val="0"/>
                      <w:marTop w:val="0"/>
                      <w:marBottom w:val="600"/>
                      <w:divBdr>
                        <w:top w:val="none" w:sz="0" w:space="0" w:color="auto"/>
                        <w:left w:val="none" w:sz="0" w:space="0" w:color="auto"/>
                        <w:bottom w:val="none" w:sz="0" w:space="0" w:color="auto"/>
                        <w:right w:val="none" w:sz="0" w:space="0" w:color="auto"/>
                      </w:divBdr>
                      <w:divsChild>
                        <w:div w:id="1158183272">
                          <w:marLeft w:val="0"/>
                          <w:marRight w:val="0"/>
                          <w:marTop w:val="0"/>
                          <w:marBottom w:val="510"/>
                          <w:divBdr>
                            <w:top w:val="none" w:sz="0" w:space="0" w:color="auto"/>
                            <w:left w:val="none" w:sz="0" w:space="0" w:color="auto"/>
                            <w:bottom w:val="none" w:sz="0" w:space="0" w:color="auto"/>
                            <w:right w:val="none" w:sz="0" w:space="0" w:color="auto"/>
                          </w:divBdr>
                        </w:div>
                      </w:divsChild>
                    </w:div>
                    <w:div w:id="1028263614">
                      <w:marLeft w:val="0"/>
                      <w:marRight w:val="0"/>
                      <w:marTop w:val="0"/>
                      <w:marBottom w:val="600"/>
                      <w:divBdr>
                        <w:top w:val="none" w:sz="0" w:space="0" w:color="auto"/>
                        <w:left w:val="none" w:sz="0" w:space="0" w:color="auto"/>
                        <w:bottom w:val="none" w:sz="0" w:space="0" w:color="auto"/>
                        <w:right w:val="none" w:sz="0" w:space="0" w:color="auto"/>
                      </w:divBdr>
                      <w:divsChild>
                        <w:div w:id="860511359">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214195393">
      <w:bodyDiv w:val="1"/>
      <w:marLeft w:val="0"/>
      <w:marRight w:val="0"/>
      <w:marTop w:val="0"/>
      <w:marBottom w:val="0"/>
      <w:divBdr>
        <w:top w:val="none" w:sz="0" w:space="0" w:color="auto"/>
        <w:left w:val="none" w:sz="0" w:space="0" w:color="auto"/>
        <w:bottom w:val="none" w:sz="0" w:space="0" w:color="auto"/>
        <w:right w:val="none" w:sz="0" w:space="0" w:color="auto"/>
      </w:divBdr>
    </w:div>
    <w:div w:id="1259412911">
      <w:bodyDiv w:val="1"/>
      <w:marLeft w:val="0"/>
      <w:marRight w:val="0"/>
      <w:marTop w:val="0"/>
      <w:marBottom w:val="0"/>
      <w:divBdr>
        <w:top w:val="none" w:sz="0" w:space="0" w:color="auto"/>
        <w:left w:val="none" w:sz="0" w:space="0" w:color="auto"/>
        <w:bottom w:val="none" w:sz="0" w:space="0" w:color="auto"/>
        <w:right w:val="none" w:sz="0" w:space="0" w:color="auto"/>
      </w:divBdr>
    </w:div>
    <w:div w:id="1335836758">
      <w:bodyDiv w:val="1"/>
      <w:marLeft w:val="0"/>
      <w:marRight w:val="0"/>
      <w:marTop w:val="0"/>
      <w:marBottom w:val="0"/>
      <w:divBdr>
        <w:top w:val="none" w:sz="0" w:space="0" w:color="auto"/>
        <w:left w:val="none" w:sz="0" w:space="0" w:color="auto"/>
        <w:bottom w:val="none" w:sz="0" w:space="0" w:color="auto"/>
        <w:right w:val="none" w:sz="0" w:space="0" w:color="auto"/>
      </w:divBdr>
    </w:div>
    <w:div w:id="1362435622">
      <w:bodyDiv w:val="1"/>
      <w:marLeft w:val="0"/>
      <w:marRight w:val="0"/>
      <w:marTop w:val="0"/>
      <w:marBottom w:val="0"/>
      <w:divBdr>
        <w:top w:val="none" w:sz="0" w:space="0" w:color="auto"/>
        <w:left w:val="none" w:sz="0" w:space="0" w:color="auto"/>
        <w:bottom w:val="none" w:sz="0" w:space="0" w:color="auto"/>
        <w:right w:val="none" w:sz="0" w:space="0" w:color="auto"/>
      </w:divBdr>
      <w:divsChild>
        <w:div w:id="1970502898">
          <w:marLeft w:val="0"/>
          <w:marRight w:val="0"/>
          <w:marTop w:val="0"/>
          <w:marBottom w:val="0"/>
          <w:divBdr>
            <w:top w:val="none" w:sz="0" w:space="0" w:color="auto"/>
            <w:left w:val="none" w:sz="0" w:space="0" w:color="auto"/>
            <w:bottom w:val="none" w:sz="0" w:space="0" w:color="auto"/>
            <w:right w:val="none" w:sz="0" w:space="0" w:color="auto"/>
          </w:divBdr>
          <w:divsChild>
            <w:div w:id="1604611443">
              <w:marLeft w:val="-225"/>
              <w:marRight w:val="-225"/>
              <w:marTop w:val="0"/>
              <w:marBottom w:val="0"/>
              <w:divBdr>
                <w:top w:val="none" w:sz="0" w:space="0" w:color="auto"/>
                <w:left w:val="none" w:sz="0" w:space="0" w:color="auto"/>
                <w:bottom w:val="none" w:sz="0" w:space="0" w:color="auto"/>
                <w:right w:val="none" w:sz="0" w:space="0" w:color="auto"/>
              </w:divBdr>
              <w:divsChild>
                <w:div w:id="1778789281">
                  <w:marLeft w:val="0"/>
                  <w:marRight w:val="0"/>
                  <w:marTop w:val="0"/>
                  <w:marBottom w:val="0"/>
                  <w:divBdr>
                    <w:top w:val="none" w:sz="0" w:space="0" w:color="auto"/>
                    <w:left w:val="none" w:sz="0" w:space="0" w:color="auto"/>
                    <w:bottom w:val="none" w:sz="0" w:space="0" w:color="auto"/>
                    <w:right w:val="none" w:sz="0" w:space="0" w:color="auto"/>
                  </w:divBdr>
                  <w:divsChild>
                    <w:div w:id="1325400380">
                      <w:marLeft w:val="0"/>
                      <w:marRight w:val="0"/>
                      <w:marTop w:val="0"/>
                      <w:marBottom w:val="0"/>
                      <w:divBdr>
                        <w:top w:val="none" w:sz="0" w:space="0" w:color="auto"/>
                        <w:left w:val="none" w:sz="0" w:space="0" w:color="auto"/>
                        <w:bottom w:val="none" w:sz="0" w:space="0" w:color="auto"/>
                        <w:right w:val="none" w:sz="0" w:space="0" w:color="auto"/>
                      </w:divBdr>
                      <w:divsChild>
                        <w:div w:id="1979992248">
                          <w:marLeft w:val="-225"/>
                          <w:marRight w:val="-225"/>
                          <w:marTop w:val="0"/>
                          <w:marBottom w:val="0"/>
                          <w:divBdr>
                            <w:top w:val="none" w:sz="0" w:space="0" w:color="auto"/>
                            <w:left w:val="none" w:sz="0" w:space="0" w:color="auto"/>
                            <w:bottom w:val="none" w:sz="0" w:space="0" w:color="auto"/>
                            <w:right w:val="none" w:sz="0" w:space="0" w:color="auto"/>
                          </w:divBdr>
                          <w:divsChild>
                            <w:div w:id="1286542567">
                              <w:marLeft w:val="0"/>
                              <w:marRight w:val="0"/>
                              <w:marTop w:val="0"/>
                              <w:marBottom w:val="0"/>
                              <w:divBdr>
                                <w:top w:val="none" w:sz="0" w:space="0" w:color="auto"/>
                                <w:left w:val="none" w:sz="0" w:space="0" w:color="auto"/>
                                <w:bottom w:val="none" w:sz="0" w:space="0" w:color="auto"/>
                                <w:right w:val="none" w:sz="0" w:space="0" w:color="auto"/>
                              </w:divBdr>
                              <w:divsChild>
                                <w:div w:id="16439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685511">
          <w:marLeft w:val="0"/>
          <w:marRight w:val="0"/>
          <w:marTop w:val="0"/>
          <w:marBottom w:val="0"/>
          <w:divBdr>
            <w:top w:val="none" w:sz="0" w:space="0" w:color="auto"/>
            <w:left w:val="none" w:sz="0" w:space="0" w:color="auto"/>
            <w:bottom w:val="none" w:sz="0" w:space="0" w:color="auto"/>
            <w:right w:val="none" w:sz="0" w:space="0" w:color="auto"/>
          </w:divBdr>
          <w:divsChild>
            <w:div w:id="830220878">
              <w:marLeft w:val="0"/>
              <w:marRight w:val="0"/>
              <w:marTop w:val="0"/>
              <w:marBottom w:val="0"/>
              <w:divBdr>
                <w:top w:val="none" w:sz="0" w:space="0" w:color="auto"/>
                <w:left w:val="none" w:sz="0" w:space="0" w:color="auto"/>
                <w:bottom w:val="none" w:sz="0" w:space="0" w:color="auto"/>
                <w:right w:val="none" w:sz="0" w:space="0" w:color="auto"/>
              </w:divBdr>
              <w:divsChild>
                <w:div w:id="2060014215">
                  <w:marLeft w:val="-225"/>
                  <w:marRight w:val="-225"/>
                  <w:marTop w:val="0"/>
                  <w:marBottom w:val="0"/>
                  <w:divBdr>
                    <w:top w:val="none" w:sz="0" w:space="0" w:color="auto"/>
                    <w:left w:val="none" w:sz="0" w:space="0" w:color="auto"/>
                    <w:bottom w:val="none" w:sz="0" w:space="0" w:color="auto"/>
                    <w:right w:val="none" w:sz="0" w:space="0" w:color="auto"/>
                  </w:divBdr>
                  <w:divsChild>
                    <w:div w:id="2129467366">
                      <w:marLeft w:val="0"/>
                      <w:marRight w:val="0"/>
                      <w:marTop w:val="0"/>
                      <w:marBottom w:val="600"/>
                      <w:divBdr>
                        <w:top w:val="none" w:sz="0" w:space="0" w:color="auto"/>
                        <w:left w:val="none" w:sz="0" w:space="0" w:color="auto"/>
                        <w:bottom w:val="none" w:sz="0" w:space="0" w:color="auto"/>
                        <w:right w:val="none" w:sz="0" w:space="0" w:color="auto"/>
                      </w:divBdr>
                      <w:divsChild>
                        <w:div w:id="2026979757">
                          <w:marLeft w:val="0"/>
                          <w:marRight w:val="0"/>
                          <w:marTop w:val="0"/>
                          <w:marBottom w:val="510"/>
                          <w:divBdr>
                            <w:top w:val="none" w:sz="0" w:space="0" w:color="auto"/>
                            <w:left w:val="none" w:sz="0" w:space="0" w:color="auto"/>
                            <w:bottom w:val="none" w:sz="0" w:space="0" w:color="auto"/>
                            <w:right w:val="none" w:sz="0" w:space="0" w:color="auto"/>
                          </w:divBdr>
                        </w:div>
                      </w:divsChild>
                    </w:div>
                    <w:div w:id="406656121">
                      <w:marLeft w:val="0"/>
                      <w:marRight w:val="0"/>
                      <w:marTop w:val="0"/>
                      <w:marBottom w:val="600"/>
                      <w:divBdr>
                        <w:top w:val="none" w:sz="0" w:space="0" w:color="auto"/>
                        <w:left w:val="none" w:sz="0" w:space="0" w:color="auto"/>
                        <w:bottom w:val="none" w:sz="0" w:space="0" w:color="auto"/>
                        <w:right w:val="none" w:sz="0" w:space="0" w:color="auto"/>
                      </w:divBdr>
                      <w:divsChild>
                        <w:div w:id="1361660458">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71241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EA206-B19D-4FF0-86D8-84C5BF9BB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5223</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Rosemary_Yore</dc:creator>
  <cp:keywords/>
  <dc:description/>
  <cp:lastModifiedBy>Christy_Koyomu</cp:lastModifiedBy>
  <cp:revision>2</cp:revision>
  <dcterms:created xsi:type="dcterms:W3CDTF">2025-02-21T03:13:00Z</dcterms:created>
  <dcterms:modified xsi:type="dcterms:W3CDTF">2025-02-21T03:13:00Z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3ff7cb1a-536b-4aad-9310-adf77f191f35</vt:lpwstr>
  </property>
</Properties>
</file>